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6D" w:rsidRPr="0056286D" w:rsidRDefault="0056286D" w:rsidP="0056286D">
      <w:pPr>
        <w:spacing w:line="240" w:lineRule="auto"/>
        <w:jc w:val="center"/>
        <w:rPr>
          <w:rFonts w:ascii="Arial Black" w:hAnsi="Arial Black" w:cstheme="majorBidi"/>
          <w:b/>
          <w:bCs/>
          <w:sz w:val="28"/>
          <w:szCs w:val="28"/>
        </w:rPr>
      </w:pPr>
      <w:r w:rsidRPr="0056286D">
        <w:rPr>
          <w:rFonts w:ascii="Arial Black" w:hAnsi="Arial Black" w:cstheme="majorBidi"/>
          <w:b/>
          <w:bCs/>
          <w:sz w:val="28"/>
          <w:szCs w:val="28"/>
        </w:rPr>
        <w:t>Master Degree in Neurology</w:t>
      </w:r>
    </w:p>
    <w:p w:rsidR="00BD3567" w:rsidRPr="0056286D" w:rsidRDefault="00410839" w:rsidP="0056286D">
      <w:pPr>
        <w:spacing w:line="240" w:lineRule="auto"/>
        <w:rPr>
          <w:rFonts w:asciiTheme="majorBidi" w:hAnsiTheme="majorBidi" w:cstheme="majorBidi"/>
          <w:sz w:val="24"/>
          <w:szCs w:val="24"/>
        </w:rPr>
      </w:pPr>
      <w:r w:rsidRPr="0056286D">
        <w:rPr>
          <w:rFonts w:asciiTheme="majorBidi" w:hAnsiTheme="majorBidi" w:cstheme="majorBidi"/>
          <w:b/>
          <w:bCs/>
          <w:sz w:val="24"/>
          <w:szCs w:val="24"/>
          <w:u w:val="single"/>
        </w:rPr>
        <w:t>Program Duration:</w:t>
      </w:r>
      <w:r w:rsidRPr="0056286D">
        <w:rPr>
          <w:rFonts w:asciiTheme="majorBidi" w:hAnsiTheme="majorBidi" w:cstheme="majorBidi"/>
          <w:sz w:val="24"/>
          <w:szCs w:val="24"/>
        </w:rPr>
        <w:t xml:space="preserve"> 10 </w:t>
      </w:r>
      <w:proofErr w:type="spellStart"/>
      <w:r w:rsidRPr="0056286D">
        <w:rPr>
          <w:rFonts w:asciiTheme="majorBidi" w:hAnsiTheme="majorBidi" w:cstheme="majorBidi"/>
          <w:sz w:val="24"/>
          <w:szCs w:val="24"/>
        </w:rPr>
        <w:t>semisters</w:t>
      </w:r>
      <w:proofErr w:type="spellEnd"/>
      <w:r w:rsidRPr="0056286D">
        <w:rPr>
          <w:rFonts w:asciiTheme="majorBidi" w:hAnsiTheme="majorBidi" w:cstheme="majorBidi"/>
          <w:sz w:val="24"/>
          <w:szCs w:val="24"/>
        </w:rPr>
        <w:t xml:space="preserve"> (5 years)</w:t>
      </w:r>
    </w:p>
    <w:p w:rsidR="00410839" w:rsidRPr="0056286D" w:rsidRDefault="00410839" w:rsidP="0056286D">
      <w:pPr>
        <w:spacing w:line="240" w:lineRule="auto"/>
        <w:rPr>
          <w:rFonts w:asciiTheme="majorBidi" w:hAnsiTheme="majorBidi" w:cstheme="majorBidi"/>
          <w:sz w:val="24"/>
          <w:szCs w:val="24"/>
        </w:rPr>
      </w:pPr>
      <w:r w:rsidRPr="0056286D">
        <w:rPr>
          <w:rFonts w:asciiTheme="majorBidi" w:hAnsiTheme="majorBidi" w:cstheme="majorBidi"/>
          <w:b/>
          <w:bCs/>
          <w:sz w:val="24"/>
          <w:szCs w:val="24"/>
          <w:u w:val="single"/>
        </w:rPr>
        <w:t>Program</w:t>
      </w:r>
      <w:r w:rsidR="0056286D" w:rsidRPr="0056286D">
        <w:rPr>
          <w:rFonts w:asciiTheme="majorBidi" w:hAnsiTheme="majorBidi" w:cstheme="majorBidi"/>
          <w:b/>
          <w:bCs/>
          <w:sz w:val="24"/>
          <w:szCs w:val="24"/>
          <w:u w:val="single"/>
        </w:rPr>
        <w:t xml:space="preserve"> Structure:</w:t>
      </w:r>
      <w:r w:rsidRPr="0056286D">
        <w:rPr>
          <w:rFonts w:asciiTheme="majorBidi" w:hAnsiTheme="majorBidi" w:cstheme="majorBidi"/>
          <w:sz w:val="24"/>
          <w:szCs w:val="24"/>
        </w:rPr>
        <w:t xml:space="preserve"> includes two parts that are parallel to each other</w:t>
      </w:r>
    </w:p>
    <w:p w:rsidR="00410839" w:rsidRPr="0056286D" w:rsidRDefault="00410839" w:rsidP="0056286D">
      <w:pPr>
        <w:pStyle w:val="ListParagraph"/>
        <w:numPr>
          <w:ilvl w:val="0"/>
          <w:numId w:val="1"/>
        </w:numPr>
        <w:spacing w:line="240" w:lineRule="auto"/>
        <w:rPr>
          <w:rFonts w:asciiTheme="majorBidi" w:hAnsiTheme="majorBidi" w:cstheme="majorBidi"/>
          <w:sz w:val="24"/>
          <w:szCs w:val="24"/>
        </w:rPr>
      </w:pPr>
      <w:r w:rsidRPr="0056286D">
        <w:rPr>
          <w:rFonts w:asciiTheme="majorBidi" w:hAnsiTheme="majorBidi" w:cstheme="majorBidi"/>
          <w:sz w:val="24"/>
          <w:szCs w:val="24"/>
        </w:rPr>
        <w:t>Clinical Achievement</w:t>
      </w:r>
      <w:r w:rsidR="00042D60" w:rsidRPr="0056286D">
        <w:rPr>
          <w:rFonts w:asciiTheme="majorBidi" w:hAnsiTheme="majorBidi" w:cstheme="majorBidi"/>
          <w:sz w:val="24"/>
          <w:szCs w:val="24"/>
        </w:rPr>
        <w:t xml:space="preserve"> program:- composed of two phases</w:t>
      </w:r>
    </w:p>
    <w:p w:rsidR="00410839" w:rsidRPr="0056286D" w:rsidRDefault="00410839" w:rsidP="0056286D">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xml:space="preserve">Basic phase (basic training phase):- </w:t>
      </w:r>
      <w:r w:rsidRPr="0056286D">
        <w:rPr>
          <w:rFonts w:asciiTheme="majorBidi" w:hAnsiTheme="majorBidi" w:cstheme="majorBidi"/>
          <w:color w:val="000000"/>
          <w:sz w:val="24"/>
          <w:szCs w:val="24"/>
        </w:rPr>
        <w:t>According to the new bylaws for postgraduate programs, all the students should have a basic training course for 12 months [General Internal Medicine (6 months), Emergency &amp; Critical Care Medicine (3 months) and Psychiatry (3 months)]. During this period the students will attend the basic sciences courses as well as the general internal medicine course. They should complete the elective courses.</w:t>
      </w:r>
    </w:p>
    <w:p w:rsidR="00410839" w:rsidRPr="0056286D" w:rsidRDefault="00410839" w:rsidP="0056286D">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56286D">
        <w:rPr>
          <w:rFonts w:asciiTheme="majorBidi" w:hAnsiTheme="majorBidi" w:cstheme="majorBidi"/>
          <w:color w:val="000000"/>
          <w:sz w:val="24"/>
          <w:szCs w:val="24"/>
        </w:rPr>
        <w:t xml:space="preserve">Residency phase (Special training phase):- All students should complete the special part of the residency-training program in the Neurology department. They should spend 48 months in order to acquire the needed academic achievement. The student is expected to attend the outpatient clinics, inpatient section, </w:t>
      </w:r>
      <w:proofErr w:type="gramStart"/>
      <w:r w:rsidRPr="0056286D">
        <w:rPr>
          <w:rFonts w:asciiTheme="majorBidi" w:hAnsiTheme="majorBidi" w:cstheme="majorBidi"/>
          <w:color w:val="000000"/>
          <w:sz w:val="24"/>
          <w:szCs w:val="24"/>
        </w:rPr>
        <w:t>the</w:t>
      </w:r>
      <w:proofErr w:type="gramEnd"/>
      <w:r w:rsidRPr="0056286D">
        <w:rPr>
          <w:rFonts w:asciiTheme="majorBidi" w:hAnsiTheme="majorBidi" w:cstheme="majorBidi"/>
          <w:color w:val="000000"/>
          <w:sz w:val="24"/>
          <w:szCs w:val="24"/>
        </w:rPr>
        <w:t xml:space="preserve"> clinical neurophysiology unit to share in patients care under the supervision of senior staff members. During this period, students will attend Neurology course and will participate in the scientific activities of the department.</w:t>
      </w:r>
    </w:p>
    <w:p w:rsidR="00410839" w:rsidRPr="0056286D" w:rsidRDefault="00410839" w:rsidP="0056286D">
      <w:pPr>
        <w:pStyle w:val="ListParagraph"/>
        <w:autoSpaceDE w:val="0"/>
        <w:autoSpaceDN w:val="0"/>
        <w:adjustRightInd w:val="0"/>
        <w:spacing w:after="0" w:line="240" w:lineRule="auto"/>
        <w:ind w:left="1440"/>
        <w:rPr>
          <w:rFonts w:asciiTheme="majorBidi" w:hAnsiTheme="majorBidi" w:cstheme="majorBidi"/>
          <w:sz w:val="24"/>
          <w:szCs w:val="24"/>
        </w:rPr>
      </w:pPr>
    </w:p>
    <w:p w:rsidR="00410839" w:rsidRPr="0056286D" w:rsidRDefault="00410839" w:rsidP="0056286D">
      <w:pPr>
        <w:pStyle w:val="ListParagraph"/>
        <w:spacing w:line="240" w:lineRule="auto"/>
        <w:ind w:left="1440"/>
        <w:rPr>
          <w:rFonts w:asciiTheme="majorBidi" w:hAnsiTheme="majorBidi" w:cstheme="majorBidi"/>
          <w:sz w:val="24"/>
          <w:szCs w:val="24"/>
        </w:rPr>
      </w:pPr>
    </w:p>
    <w:p w:rsidR="00410839" w:rsidRPr="0056286D" w:rsidRDefault="00410839" w:rsidP="0056286D">
      <w:pPr>
        <w:pStyle w:val="ListParagraph"/>
        <w:numPr>
          <w:ilvl w:val="0"/>
          <w:numId w:val="1"/>
        </w:numPr>
        <w:spacing w:line="240" w:lineRule="auto"/>
        <w:rPr>
          <w:rFonts w:asciiTheme="majorBidi" w:hAnsiTheme="majorBidi" w:cstheme="majorBidi"/>
          <w:sz w:val="24"/>
          <w:szCs w:val="24"/>
        </w:rPr>
      </w:pPr>
      <w:r w:rsidRPr="0056286D">
        <w:rPr>
          <w:rFonts w:asciiTheme="majorBidi" w:hAnsiTheme="majorBidi" w:cstheme="majorBidi"/>
          <w:sz w:val="24"/>
          <w:szCs w:val="24"/>
        </w:rPr>
        <w:t>Academic Achievement</w:t>
      </w:r>
      <w:r w:rsidR="00042D60" w:rsidRPr="0056286D">
        <w:rPr>
          <w:rFonts w:asciiTheme="majorBidi" w:hAnsiTheme="majorBidi" w:cstheme="majorBidi"/>
          <w:sz w:val="24"/>
          <w:szCs w:val="24"/>
        </w:rPr>
        <w:t>:- Passes in parallel with clinical achievement program</w:t>
      </w:r>
    </w:p>
    <w:p w:rsidR="00042D60" w:rsidRPr="0056286D" w:rsidRDefault="00042D60" w:rsidP="0056286D">
      <w:pPr>
        <w:pStyle w:val="ListParagraph"/>
        <w:numPr>
          <w:ilvl w:val="0"/>
          <w:numId w:val="6"/>
        </w:numPr>
        <w:spacing w:line="240" w:lineRule="auto"/>
        <w:rPr>
          <w:rFonts w:asciiTheme="majorBidi" w:hAnsiTheme="majorBidi" w:cstheme="majorBidi"/>
          <w:sz w:val="24"/>
          <w:szCs w:val="24"/>
        </w:rPr>
      </w:pPr>
      <w:r w:rsidRPr="0056286D">
        <w:rPr>
          <w:rFonts w:asciiTheme="majorBidi" w:hAnsiTheme="majorBidi" w:cstheme="majorBidi"/>
          <w:sz w:val="24"/>
          <w:szCs w:val="24"/>
        </w:rPr>
        <w:t>First part:- includes the following</w:t>
      </w:r>
    </w:p>
    <w:tbl>
      <w:tblPr>
        <w:tblStyle w:val="TableGrid"/>
        <w:tblW w:w="0" w:type="auto"/>
        <w:tblInd w:w="1440" w:type="dxa"/>
        <w:tblLook w:val="04A0"/>
      </w:tblPr>
      <w:tblGrid>
        <w:gridCol w:w="2115"/>
        <w:gridCol w:w="2007"/>
        <w:gridCol w:w="2007"/>
        <w:gridCol w:w="2007"/>
      </w:tblGrid>
      <w:tr w:rsidR="003C2927" w:rsidRPr="0056286D" w:rsidTr="003C2927">
        <w:tc>
          <w:tcPr>
            <w:tcW w:w="2115" w:type="dxa"/>
            <w:vMerge w:val="restart"/>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Course</w:t>
            </w:r>
          </w:p>
        </w:tc>
        <w:tc>
          <w:tcPr>
            <w:tcW w:w="6021" w:type="dxa"/>
            <w:gridSpan w:val="3"/>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Assessment</w:t>
            </w:r>
          </w:p>
        </w:tc>
      </w:tr>
      <w:tr w:rsidR="003C2927" w:rsidRPr="0056286D" w:rsidTr="003C2927">
        <w:tc>
          <w:tcPr>
            <w:tcW w:w="2115" w:type="dxa"/>
            <w:vMerge/>
          </w:tcPr>
          <w:p w:rsidR="003C2927" w:rsidRPr="0056286D" w:rsidRDefault="003C2927" w:rsidP="0056286D">
            <w:pPr>
              <w:pStyle w:val="ListParagraph"/>
              <w:ind w:left="0"/>
              <w:rPr>
                <w:rFonts w:asciiTheme="majorBidi" w:hAnsiTheme="majorBidi" w:cstheme="majorBidi"/>
                <w:sz w:val="24"/>
                <w:szCs w:val="24"/>
              </w:rPr>
            </w:pP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Written</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Oral</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Clinical</w:t>
            </w:r>
          </w:p>
        </w:tc>
      </w:tr>
      <w:tr w:rsidR="003C2927" w:rsidRPr="0056286D" w:rsidTr="003C2927">
        <w:tc>
          <w:tcPr>
            <w:tcW w:w="2115" w:type="dxa"/>
          </w:tcPr>
          <w:p w:rsidR="003C2927" w:rsidRPr="0056286D" w:rsidRDefault="003C2927" w:rsidP="0056286D">
            <w:pPr>
              <w:rPr>
                <w:rFonts w:asciiTheme="majorBidi" w:hAnsiTheme="majorBidi" w:cstheme="majorBidi"/>
                <w:sz w:val="24"/>
                <w:szCs w:val="24"/>
              </w:rPr>
            </w:pPr>
            <w:r w:rsidRPr="0056286D">
              <w:rPr>
                <w:rFonts w:asciiTheme="majorBidi" w:hAnsiTheme="majorBidi" w:cstheme="majorBidi"/>
                <w:sz w:val="24"/>
                <w:szCs w:val="24"/>
              </w:rPr>
              <w:t>Anatomy of central and peripheral nervous systems</w:t>
            </w:r>
          </w:p>
          <w:p w:rsidR="003C2927" w:rsidRPr="0056286D" w:rsidRDefault="003C2927" w:rsidP="0056286D">
            <w:pPr>
              <w:pStyle w:val="ListParagraph"/>
              <w:ind w:left="0"/>
              <w:rPr>
                <w:rFonts w:asciiTheme="majorBidi" w:hAnsiTheme="majorBidi" w:cstheme="majorBidi"/>
                <w:sz w:val="24"/>
                <w:szCs w:val="24"/>
              </w:rPr>
            </w:pP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_______</w:t>
            </w:r>
          </w:p>
        </w:tc>
      </w:tr>
      <w:tr w:rsidR="003C2927" w:rsidRPr="0056286D" w:rsidTr="003C2927">
        <w:tc>
          <w:tcPr>
            <w:tcW w:w="2115" w:type="dxa"/>
          </w:tcPr>
          <w:p w:rsidR="003C2927" w:rsidRPr="0056286D" w:rsidRDefault="003C2927" w:rsidP="0056286D">
            <w:pPr>
              <w:rPr>
                <w:rFonts w:asciiTheme="majorBidi" w:hAnsiTheme="majorBidi" w:cstheme="majorBidi"/>
                <w:sz w:val="24"/>
                <w:szCs w:val="24"/>
              </w:rPr>
            </w:pPr>
            <w:r w:rsidRPr="0056286D">
              <w:rPr>
                <w:rFonts w:asciiTheme="majorBidi" w:hAnsiTheme="majorBidi" w:cstheme="majorBidi"/>
                <w:sz w:val="24"/>
                <w:szCs w:val="24"/>
              </w:rPr>
              <w:t xml:space="preserve">Microbiology and </w:t>
            </w:r>
            <w:proofErr w:type="spellStart"/>
            <w:r w:rsidRPr="0056286D">
              <w:rPr>
                <w:rFonts w:asciiTheme="majorBidi" w:hAnsiTheme="majorBidi" w:cstheme="majorBidi"/>
                <w:sz w:val="24"/>
                <w:szCs w:val="24"/>
              </w:rPr>
              <w:t>neuroimmunology</w:t>
            </w:r>
            <w:proofErr w:type="spellEnd"/>
          </w:p>
          <w:p w:rsidR="003C2927" w:rsidRPr="0056286D" w:rsidRDefault="003C2927" w:rsidP="0056286D">
            <w:pPr>
              <w:pStyle w:val="ListParagraph"/>
              <w:ind w:left="0"/>
              <w:rPr>
                <w:rFonts w:asciiTheme="majorBidi" w:hAnsiTheme="majorBidi" w:cstheme="majorBidi"/>
                <w:sz w:val="24"/>
                <w:szCs w:val="24"/>
              </w:rPr>
            </w:pP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_______</w:t>
            </w:r>
          </w:p>
        </w:tc>
      </w:tr>
      <w:tr w:rsidR="003C2927" w:rsidRPr="0056286D" w:rsidTr="003C2927">
        <w:tc>
          <w:tcPr>
            <w:tcW w:w="2115" w:type="dxa"/>
          </w:tcPr>
          <w:p w:rsidR="003C2927" w:rsidRPr="0056286D" w:rsidRDefault="003C2927" w:rsidP="0056286D">
            <w:pPr>
              <w:rPr>
                <w:rFonts w:asciiTheme="majorBidi" w:hAnsiTheme="majorBidi" w:cstheme="majorBidi"/>
                <w:sz w:val="24"/>
                <w:szCs w:val="24"/>
              </w:rPr>
            </w:pPr>
            <w:r w:rsidRPr="0056286D">
              <w:rPr>
                <w:rFonts w:asciiTheme="majorBidi" w:hAnsiTheme="majorBidi" w:cstheme="majorBidi"/>
                <w:sz w:val="24"/>
                <w:szCs w:val="24"/>
              </w:rPr>
              <w:t>CNS physiology</w:t>
            </w:r>
          </w:p>
          <w:p w:rsidR="003C2927" w:rsidRPr="0056286D" w:rsidRDefault="003C2927" w:rsidP="0056286D">
            <w:pPr>
              <w:pStyle w:val="ListParagraph"/>
              <w:ind w:left="0"/>
              <w:rPr>
                <w:rFonts w:asciiTheme="majorBidi" w:hAnsiTheme="majorBidi" w:cstheme="majorBidi"/>
                <w:sz w:val="24"/>
                <w:szCs w:val="24"/>
              </w:rPr>
            </w:pP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_______</w:t>
            </w:r>
          </w:p>
        </w:tc>
      </w:tr>
      <w:tr w:rsidR="003C2927" w:rsidRPr="0056286D" w:rsidTr="003C2927">
        <w:tc>
          <w:tcPr>
            <w:tcW w:w="2115"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Clinical pharmacology and endocrinology</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_______</w:t>
            </w:r>
          </w:p>
        </w:tc>
      </w:tr>
      <w:tr w:rsidR="003C2927" w:rsidRPr="0056286D" w:rsidTr="003C2927">
        <w:tc>
          <w:tcPr>
            <w:tcW w:w="2115"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Pathology of CNS</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_______</w:t>
            </w:r>
          </w:p>
        </w:tc>
      </w:tr>
      <w:tr w:rsidR="003C2927" w:rsidRPr="0056286D" w:rsidTr="003C2927">
        <w:tc>
          <w:tcPr>
            <w:tcW w:w="2115"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General and special psychology</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2007" w:type="dxa"/>
          </w:tcPr>
          <w:p w:rsidR="003C2927" w:rsidRPr="0056286D" w:rsidRDefault="003C2927"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_______</w:t>
            </w:r>
          </w:p>
        </w:tc>
      </w:tr>
    </w:tbl>
    <w:p w:rsidR="003C2927" w:rsidRPr="0056286D" w:rsidRDefault="003C2927" w:rsidP="0056286D">
      <w:pPr>
        <w:pStyle w:val="ListParagraph"/>
        <w:spacing w:line="240" w:lineRule="auto"/>
        <w:ind w:left="1440"/>
        <w:rPr>
          <w:rFonts w:asciiTheme="majorBidi" w:hAnsiTheme="majorBidi" w:cstheme="majorBidi"/>
          <w:sz w:val="24"/>
          <w:szCs w:val="24"/>
        </w:rPr>
      </w:pPr>
    </w:p>
    <w:p w:rsidR="00042D60" w:rsidRPr="0056286D" w:rsidRDefault="00042D60" w:rsidP="0056286D">
      <w:pPr>
        <w:pStyle w:val="ListParagraph"/>
        <w:numPr>
          <w:ilvl w:val="0"/>
          <w:numId w:val="6"/>
        </w:numPr>
        <w:spacing w:line="240" w:lineRule="auto"/>
        <w:rPr>
          <w:rFonts w:asciiTheme="majorBidi" w:hAnsiTheme="majorBidi" w:cstheme="majorBidi"/>
          <w:sz w:val="24"/>
          <w:szCs w:val="24"/>
        </w:rPr>
      </w:pPr>
      <w:r w:rsidRPr="0056286D">
        <w:rPr>
          <w:rFonts w:asciiTheme="majorBidi" w:hAnsiTheme="majorBidi" w:cstheme="majorBidi"/>
          <w:sz w:val="24"/>
          <w:szCs w:val="24"/>
        </w:rPr>
        <w:t>Second part:- includes the following</w:t>
      </w:r>
    </w:p>
    <w:tbl>
      <w:tblPr>
        <w:tblStyle w:val="TableGrid"/>
        <w:tblW w:w="0" w:type="auto"/>
        <w:tblInd w:w="1440" w:type="dxa"/>
        <w:tblLook w:val="04A0"/>
      </w:tblPr>
      <w:tblGrid>
        <w:gridCol w:w="1607"/>
        <w:gridCol w:w="2642"/>
        <w:gridCol w:w="1369"/>
        <w:gridCol w:w="1185"/>
        <w:gridCol w:w="1333"/>
      </w:tblGrid>
      <w:tr w:rsidR="0056286D" w:rsidRPr="0056286D" w:rsidTr="00FB18BB">
        <w:tc>
          <w:tcPr>
            <w:tcW w:w="1607" w:type="dxa"/>
            <w:vMerge w:val="restart"/>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Course</w:t>
            </w:r>
          </w:p>
        </w:tc>
        <w:tc>
          <w:tcPr>
            <w:tcW w:w="6529" w:type="dxa"/>
            <w:gridSpan w:val="4"/>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Assessment</w:t>
            </w:r>
          </w:p>
        </w:tc>
      </w:tr>
      <w:tr w:rsidR="0056286D" w:rsidRPr="0056286D" w:rsidTr="0056286D">
        <w:tc>
          <w:tcPr>
            <w:tcW w:w="1607" w:type="dxa"/>
            <w:vMerge/>
          </w:tcPr>
          <w:p w:rsidR="0056286D" w:rsidRPr="0056286D" w:rsidRDefault="0056286D" w:rsidP="0056286D">
            <w:pPr>
              <w:pStyle w:val="ListParagraph"/>
              <w:ind w:left="0"/>
              <w:rPr>
                <w:rFonts w:asciiTheme="majorBidi" w:hAnsiTheme="majorBidi" w:cstheme="majorBidi"/>
                <w:sz w:val="24"/>
                <w:szCs w:val="24"/>
              </w:rPr>
            </w:pPr>
          </w:p>
        </w:tc>
        <w:tc>
          <w:tcPr>
            <w:tcW w:w="2642"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General</w:t>
            </w:r>
          </w:p>
        </w:tc>
        <w:tc>
          <w:tcPr>
            <w:tcW w:w="1369"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Written</w:t>
            </w:r>
          </w:p>
        </w:tc>
        <w:tc>
          <w:tcPr>
            <w:tcW w:w="1185"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Oral</w:t>
            </w:r>
          </w:p>
        </w:tc>
        <w:tc>
          <w:tcPr>
            <w:tcW w:w="1333"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Clinical</w:t>
            </w:r>
          </w:p>
        </w:tc>
      </w:tr>
      <w:tr w:rsidR="0056286D" w:rsidRPr="0056286D" w:rsidTr="0056286D">
        <w:tc>
          <w:tcPr>
            <w:tcW w:w="1607" w:type="dxa"/>
          </w:tcPr>
          <w:p w:rsidR="0056286D" w:rsidRPr="0056286D" w:rsidRDefault="0056286D" w:rsidP="0056286D">
            <w:pPr>
              <w:rPr>
                <w:rFonts w:asciiTheme="majorBidi" w:hAnsiTheme="majorBidi" w:cstheme="majorBidi"/>
                <w:sz w:val="24"/>
                <w:szCs w:val="24"/>
              </w:rPr>
            </w:pPr>
            <w:r w:rsidRPr="0056286D">
              <w:rPr>
                <w:rFonts w:asciiTheme="majorBidi" w:hAnsiTheme="majorBidi" w:cstheme="majorBidi"/>
                <w:sz w:val="24"/>
                <w:szCs w:val="24"/>
              </w:rPr>
              <w:t xml:space="preserve">Neurology </w:t>
            </w:r>
          </w:p>
          <w:p w:rsidR="0056286D" w:rsidRPr="0056286D" w:rsidRDefault="0056286D" w:rsidP="0056286D">
            <w:pPr>
              <w:pStyle w:val="ListParagraph"/>
              <w:ind w:left="0"/>
              <w:rPr>
                <w:rFonts w:asciiTheme="majorBidi" w:hAnsiTheme="majorBidi" w:cstheme="majorBidi"/>
                <w:sz w:val="24"/>
                <w:szCs w:val="24"/>
              </w:rPr>
            </w:pPr>
          </w:p>
        </w:tc>
        <w:tc>
          <w:tcPr>
            <w:tcW w:w="2642"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lastRenderedPageBreak/>
              <w:t>50%</w:t>
            </w:r>
          </w:p>
        </w:tc>
        <w:tc>
          <w:tcPr>
            <w:tcW w:w="1369"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1185"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30%</w:t>
            </w:r>
          </w:p>
        </w:tc>
        <w:tc>
          <w:tcPr>
            <w:tcW w:w="1333"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20%</w:t>
            </w:r>
          </w:p>
        </w:tc>
      </w:tr>
      <w:tr w:rsidR="0056286D" w:rsidRPr="0056286D" w:rsidTr="0056286D">
        <w:tc>
          <w:tcPr>
            <w:tcW w:w="1607" w:type="dxa"/>
          </w:tcPr>
          <w:p w:rsidR="0056286D" w:rsidRPr="0056286D" w:rsidRDefault="0056286D" w:rsidP="0056286D">
            <w:pPr>
              <w:rPr>
                <w:rFonts w:asciiTheme="majorBidi" w:hAnsiTheme="majorBidi" w:cstheme="majorBidi"/>
                <w:sz w:val="24"/>
                <w:szCs w:val="24"/>
              </w:rPr>
            </w:pPr>
            <w:r w:rsidRPr="0056286D">
              <w:rPr>
                <w:rFonts w:asciiTheme="majorBidi" w:hAnsiTheme="majorBidi" w:cstheme="majorBidi"/>
                <w:sz w:val="24"/>
                <w:szCs w:val="24"/>
              </w:rPr>
              <w:lastRenderedPageBreak/>
              <w:t>Psychiatry</w:t>
            </w:r>
          </w:p>
          <w:p w:rsidR="0056286D" w:rsidRPr="0056286D" w:rsidRDefault="0056286D" w:rsidP="0056286D">
            <w:pPr>
              <w:pStyle w:val="ListParagraph"/>
              <w:ind w:left="0"/>
              <w:rPr>
                <w:rFonts w:asciiTheme="majorBidi" w:hAnsiTheme="majorBidi" w:cstheme="majorBidi"/>
                <w:sz w:val="24"/>
                <w:szCs w:val="24"/>
              </w:rPr>
            </w:pPr>
          </w:p>
        </w:tc>
        <w:tc>
          <w:tcPr>
            <w:tcW w:w="2642"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25%</w:t>
            </w:r>
          </w:p>
        </w:tc>
        <w:tc>
          <w:tcPr>
            <w:tcW w:w="1369"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1185"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30%</w:t>
            </w:r>
          </w:p>
        </w:tc>
        <w:tc>
          <w:tcPr>
            <w:tcW w:w="1333"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20%</w:t>
            </w:r>
          </w:p>
        </w:tc>
      </w:tr>
      <w:tr w:rsidR="0056286D" w:rsidRPr="0056286D" w:rsidTr="0056286D">
        <w:tc>
          <w:tcPr>
            <w:tcW w:w="1607" w:type="dxa"/>
          </w:tcPr>
          <w:p w:rsidR="0056286D" w:rsidRPr="0056286D" w:rsidRDefault="0056286D" w:rsidP="0056286D">
            <w:pPr>
              <w:rPr>
                <w:rFonts w:asciiTheme="majorBidi" w:hAnsiTheme="majorBidi" w:cstheme="majorBidi"/>
                <w:sz w:val="24"/>
                <w:szCs w:val="24"/>
              </w:rPr>
            </w:pPr>
            <w:r w:rsidRPr="0056286D">
              <w:rPr>
                <w:rFonts w:asciiTheme="majorBidi" w:hAnsiTheme="majorBidi" w:cstheme="majorBidi"/>
                <w:sz w:val="24"/>
                <w:szCs w:val="24"/>
              </w:rPr>
              <w:t>General Internal medicine</w:t>
            </w:r>
          </w:p>
          <w:p w:rsidR="0056286D" w:rsidRPr="0056286D" w:rsidRDefault="0056286D" w:rsidP="0056286D">
            <w:pPr>
              <w:pStyle w:val="ListParagraph"/>
              <w:ind w:left="0"/>
              <w:rPr>
                <w:rFonts w:asciiTheme="majorBidi" w:hAnsiTheme="majorBidi" w:cstheme="majorBidi"/>
                <w:sz w:val="24"/>
                <w:szCs w:val="24"/>
              </w:rPr>
            </w:pPr>
          </w:p>
        </w:tc>
        <w:tc>
          <w:tcPr>
            <w:tcW w:w="2642"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25%</w:t>
            </w:r>
          </w:p>
        </w:tc>
        <w:tc>
          <w:tcPr>
            <w:tcW w:w="1369"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50%</w:t>
            </w:r>
          </w:p>
        </w:tc>
        <w:tc>
          <w:tcPr>
            <w:tcW w:w="1185"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30%</w:t>
            </w:r>
          </w:p>
        </w:tc>
        <w:tc>
          <w:tcPr>
            <w:tcW w:w="1333" w:type="dxa"/>
          </w:tcPr>
          <w:p w:rsidR="0056286D" w:rsidRPr="0056286D" w:rsidRDefault="0056286D" w:rsidP="0056286D">
            <w:pPr>
              <w:pStyle w:val="ListParagraph"/>
              <w:ind w:left="0"/>
              <w:rPr>
                <w:rFonts w:asciiTheme="majorBidi" w:hAnsiTheme="majorBidi" w:cstheme="majorBidi"/>
                <w:sz w:val="24"/>
                <w:szCs w:val="24"/>
              </w:rPr>
            </w:pPr>
            <w:r w:rsidRPr="0056286D">
              <w:rPr>
                <w:rFonts w:asciiTheme="majorBidi" w:hAnsiTheme="majorBidi" w:cstheme="majorBidi"/>
                <w:sz w:val="24"/>
                <w:szCs w:val="24"/>
              </w:rPr>
              <w:t>20%</w:t>
            </w:r>
          </w:p>
        </w:tc>
      </w:tr>
    </w:tbl>
    <w:p w:rsidR="003C2927" w:rsidRPr="0056286D" w:rsidRDefault="003C2927" w:rsidP="0056286D">
      <w:pPr>
        <w:pStyle w:val="ListParagraph"/>
        <w:spacing w:line="240" w:lineRule="auto"/>
        <w:ind w:left="1440"/>
        <w:rPr>
          <w:rFonts w:asciiTheme="majorBidi" w:hAnsiTheme="majorBidi" w:cstheme="majorBidi"/>
          <w:sz w:val="24"/>
          <w:szCs w:val="24"/>
        </w:rPr>
      </w:pPr>
    </w:p>
    <w:p w:rsidR="00410839" w:rsidRPr="0056286D" w:rsidRDefault="00410839" w:rsidP="0056286D">
      <w:pPr>
        <w:pStyle w:val="ListParagraph"/>
        <w:numPr>
          <w:ilvl w:val="0"/>
          <w:numId w:val="1"/>
        </w:numPr>
        <w:autoSpaceDE w:val="0"/>
        <w:autoSpaceDN w:val="0"/>
        <w:adjustRightInd w:val="0"/>
        <w:spacing w:after="0" w:line="240" w:lineRule="auto"/>
        <w:rPr>
          <w:rFonts w:asciiTheme="majorBidi" w:hAnsiTheme="majorBidi" w:cstheme="majorBidi"/>
          <w:color w:val="000000"/>
          <w:sz w:val="24"/>
          <w:szCs w:val="24"/>
        </w:rPr>
      </w:pPr>
      <w:r w:rsidRPr="0056286D">
        <w:rPr>
          <w:rFonts w:asciiTheme="majorBidi" w:hAnsiTheme="majorBidi" w:cstheme="majorBidi"/>
          <w:sz w:val="24"/>
          <w:szCs w:val="24"/>
        </w:rPr>
        <w:t>Master Thesis</w:t>
      </w:r>
      <w:proofErr w:type="gramStart"/>
      <w:r w:rsidRPr="0056286D">
        <w:rPr>
          <w:rFonts w:asciiTheme="majorBidi" w:hAnsiTheme="majorBidi" w:cstheme="majorBidi"/>
          <w:sz w:val="24"/>
          <w:szCs w:val="24"/>
        </w:rPr>
        <w:t>:-</w:t>
      </w:r>
      <w:proofErr w:type="gramEnd"/>
      <w:r w:rsidRPr="0056286D">
        <w:rPr>
          <w:rFonts w:asciiTheme="majorBidi" w:hAnsiTheme="majorBidi" w:cstheme="majorBidi"/>
          <w:sz w:val="24"/>
          <w:szCs w:val="24"/>
        </w:rPr>
        <w:t xml:space="preserve"> </w:t>
      </w:r>
      <w:r w:rsidRPr="0056286D">
        <w:rPr>
          <w:rFonts w:asciiTheme="majorBidi" w:hAnsiTheme="majorBidi" w:cstheme="majorBidi"/>
          <w:color w:val="000000"/>
          <w:sz w:val="24"/>
          <w:szCs w:val="24"/>
        </w:rPr>
        <w:t xml:space="preserve">All master-degree students should prepare a thesis in Neurology. The department and the ethical committees must approve the protocol of the research. The thesis should </w:t>
      </w:r>
      <w:proofErr w:type="spellStart"/>
      <w:r w:rsidRPr="0056286D">
        <w:rPr>
          <w:rFonts w:asciiTheme="majorBidi" w:hAnsiTheme="majorBidi" w:cstheme="majorBidi"/>
          <w:color w:val="000000"/>
          <w:sz w:val="24"/>
          <w:szCs w:val="24"/>
        </w:rPr>
        <w:t>includea</w:t>
      </w:r>
      <w:proofErr w:type="spellEnd"/>
      <w:r w:rsidRPr="0056286D">
        <w:rPr>
          <w:rFonts w:asciiTheme="majorBidi" w:hAnsiTheme="majorBidi" w:cstheme="majorBidi"/>
          <w:color w:val="000000"/>
          <w:sz w:val="24"/>
          <w:szCs w:val="24"/>
        </w:rPr>
        <w:t xml:space="preserve"> review part and a research part. The Thesis is supervised by one or more senior staff members from the Neurology department and may include other specialties according to the nature of the research. The thesis should be evaluated and approved by a committee of three</w:t>
      </w:r>
      <w:r w:rsidR="003C2927" w:rsidRPr="0056286D">
        <w:rPr>
          <w:rFonts w:asciiTheme="majorBidi" w:hAnsiTheme="majorBidi" w:cstheme="majorBidi"/>
          <w:color w:val="000000"/>
          <w:sz w:val="24"/>
          <w:szCs w:val="24"/>
        </w:rPr>
        <w:t xml:space="preserve"> </w:t>
      </w:r>
      <w:r w:rsidRPr="0056286D">
        <w:rPr>
          <w:rFonts w:asciiTheme="majorBidi" w:hAnsiTheme="majorBidi" w:cstheme="majorBidi"/>
          <w:color w:val="000000"/>
          <w:sz w:val="24"/>
          <w:szCs w:val="24"/>
        </w:rPr>
        <w:t>professors including one of the supervisors and an external professor.</w:t>
      </w:r>
    </w:p>
    <w:p w:rsidR="00042D60" w:rsidRPr="0056286D" w:rsidRDefault="00042D60" w:rsidP="0056286D">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color w:val="000000"/>
          <w:sz w:val="24"/>
          <w:szCs w:val="24"/>
        </w:rPr>
        <w:t>Scientific Activities:</w:t>
      </w:r>
    </w:p>
    <w:p w:rsidR="00042D60" w:rsidRPr="0056286D" w:rsidRDefault="00042D60" w:rsidP="0056286D">
      <w:pPr>
        <w:autoSpaceDE w:val="0"/>
        <w:autoSpaceDN w:val="0"/>
        <w:adjustRightInd w:val="0"/>
        <w:spacing w:after="0" w:line="240" w:lineRule="auto"/>
        <w:ind w:left="360" w:firstLine="720"/>
        <w:rPr>
          <w:rFonts w:asciiTheme="majorBidi" w:hAnsiTheme="majorBidi" w:cstheme="majorBidi"/>
          <w:color w:val="000000"/>
          <w:sz w:val="24"/>
          <w:szCs w:val="24"/>
        </w:rPr>
      </w:pPr>
      <w:r w:rsidRPr="0056286D">
        <w:rPr>
          <w:rFonts w:asciiTheme="majorBidi" w:hAnsiTheme="majorBidi" w:cstheme="majorBidi"/>
          <w:color w:val="000000"/>
          <w:sz w:val="24"/>
          <w:szCs w:val="24"/>
        </w:rPr>
        <w:t xml:space="preserve">The candidates should participate in the scientific activities of the department as: </w:t>
      </w:r>
    </w:p>
    <w:p w:rsidR="00042D60" w:rsidRPr="0056286D" w:rsidRDefault="00042D60" w:rsidP="0056286D">
      <w:pPr>
        <w:pStyle w:val="ListParagraph"/>
        <w:numPr>
          <w:ilvl w:val="0"/>
          <w:numId w:val="5"/>
        </w:numPr>
        <w:autoSpaceDE w:val="0"/>
        <w:autoSpaceDN w:val="0"/>
        <w:adjustRightInd w:val="0"/>
        <w:spacing w:after="0" w:line="240" w:lineRule="auto"/>
        <w:ind w:left="1620"/>
        <w:rPr>
          <w:rFonts w:asciiTheme="majorBidi" w:hAnsiTheme="majorBidi" w:cstheme="majorBidi"/>
          <w:sz w:val="24"/>
          <w:szCs w:val="24"/>
        </w:rPr>
      </w:pPr>
      <w:r w:rsidRPr="0056286D">
        <w:rPr>
          <w:rFonts w:asciiTheme="majorBidi" w:hAnsiTheme="majorBidi" w:cstheme="majorBidi"/>
          <w:color w:val="000000"/>
          <w:sz w:val="24"/>
          <w:szCs w:val="24"/>
        </w:rPr>
        <w:t>Journal club (presenting scientific articles).</w:t>
      </w:r>
    </w:p>
    <w:p w:rsidR="00042D60" w:rsidRPr="0056286D" w:rsidRDefault="00042D60" w:rsidP="0056286D">
      <w:pPr>
        <w:pStyle w:val="ListParagraph"/>
        <w:numPr>
          <w:ilvl w:val="0"/>
          <w:numId w:val="5"/>
        </w:numPr>
        <w:autoSpaceDE w:val="0"/>
        <w:autoSpaceDN w:val="0"/>
        <w:adjustRightInd w:val="0"/>
        <w:spacing w:after="0" w:line="240" w:lineRule="auto"/>
        <w:ind w:left="1620"/>
        <w:rPr>
          <w:rFonts w:asciiTheme="majorBidi" w:hAnsiTheme="majorBidi" w:cstheme="majorBidi"/>
          <w:sz w:val="24"/>
          <w:szCs w:val="24"/>
        </w:rPr>
      </w:pPr>
      <w:r w:rsidRPr="0056286D">
        <w:rPr>
          <w:rFonts w:asciiTheme="majorBidi" w:hAnsiTheme="majorBidi" w:cstheme="majorBidi"/>
          <w:color w:val="000000"/>
          <w:sz w:val="24"/>
          <w:szCs w:val="24"/>
        </w:rPr>
        <w:t>Seminars (including recent topics and controversial issues). Students are expected to participate in the discussions.</w:t>
      </w:r>
    </w:p>
    <w:p w:rsidR="00042D60" w:rsidRPr="0056286D" w:rsidRDefault="00042D60" w:rsidP="0056286D">
      <w:pPr>
        <w:pStyle w:val="ListParagraph"/>
        <w:numPr>
          <w:ilvl w:val="0"/>
          <w:numId w:val="5"/>
        </w:numPr>
        <w:autoSpaceDE w:val="0"/>
        <w:autoSpaceDN w:val="0"/>
        <w:adjustRightInd w:val="0"/>
        <w:spacing w:after="0" w:line="240" w:lineRule="auto"/>
        <w:ind w:left="1620"/>
        <w:rPr>
          <w:rFonts w:asciiTheme="majorBidi" w:hAnsiTheme="majorBidi" w:cstheme="majorBidi"/>
          <w:sz w:val="24"/>
          <w:szCs w:val="24"/>
        </w:rPr>
      </w:pPr>
      <w:r w:rsidRPr="0056286D">
        <w:rPr>
          <w:rFonts w:asciiTheme="majorBidi" w:hAnsiTheme="majorBidi" w:cstheme="majorBidi"/>
          <w:color w:val="000000"/>
          <w:sz w:val="24"/>
          <w:szCs w:val="24"/>
        </w:rPr>
        <w:t>Scientific meetings arranged by the department.</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p>
    <w:p w:rsidR="00042D60" w:rsidRPr="0056286D" w:rsidRDefault="00042D60" w:rsidP="0056286D">
      <w:pPr>
        <w:autoSpaceDE w:val="0"/>
        <w:autoSpaceDN w:val="0"/>
        <w:adjustRightInd w:val="0"/>
        <w:spacing w:after="0" w:line="240" w:lineRule="auto"/>
        <w:ind w:left="1260"/>
        <w:rPr>
          <w:rFonts w:asciiTheme="majorBidi" w:hAnsiTheme="majorBidi" w:cstheme="majorBidi"/>
          <w:color w:val="000000"/>
          <w:sz w:val="24"/>
          <w:szCs w:val="24"/>
        </w:rPr>
      </w:pPr>
    </w:p>
    <w:p w:rsidR="00042D60" w:rsidRPr="0056286D" w:rsidRDefault="00042D60" w:rsidP="0056286D">
      <w:pPr>
        <w:autoSpaceDE w:val="0"/>
        <w:autoSpaceDN w:val="0"/>
        <w:adjustRightInd w:val="0"/>
        <w:spacing w:after="0" w:line="240" w:lineRule="auto"/>
        <w:ind w:left="1260"/>
        <w:rPr>
          <w:rFonts w:asciiTheme="majorBidi" w:hAnsiTheme="majorBidi" w:cstheme="majorBidi"/>
          <w:color w:val="000000"/>
          <w:sz w:val="24"/>
          <w:szCs w:val="24"/>
        </w:rPr>
      </w:pPr>
      <w:r w:rsidRPr="0056286D">
        <w:rPr>
          <w:rFonts w:asciiTheme="majorBidi" w:hAnsiTheme="majorBidi" w:cstheme="majorBidi"/>
          <w:color w:val="000000"/>
          <w:sz w:val="24"/>
          <w:szCs w:val="24"/>
        </w:rPr>
        <w:t>Each activity will be monitored and given credit points registered in a scientific activities logbook. The student should collect the required points before allowed to sit for final exam.</w:t>
      </w:r>
    </w:p>
    <w:p w:rsidR="00042D60" w:rsidRPr="0056286D" w:rsidRDefault="00042D60" w:rsidP="0056286D">
      <w:pPr>
        <w:pStyle w:val="ListParagraph"/>
        <w:autoSpaceDE w:val="0"/>
        <w:autoSpaceDN w:val="0"/>
        <w:adjustRightInd w:val="0"/>
        <w:spacing w:after="0" w:line="240" w:lineRule="auto"/>
        <w:ind w:left="1080"/>
        <w:rPr>
          <w:rFonts w:asciiTheme="majorBidi" w:hAnsiTheme="majorBidi" w:cstheme="majorBidi"/>
          <w:color w:val="000000"/>
          <w:sz w:val="24"/>
          <w:szCs w:val="24"/>
        </w:rPr>
      </w:pPr>
    </w:p>
    <w:p w:rsidR="003C2927" w:rsidRPr="0056286D" w:rsidRDefault="003C2927" w:rsidP="0056286D">
      <w:pPr>
        <w:autoSpaceDE w:val="0"/>
        <w:autoSpaceDN w:val="0"/>
        <w:adjustRightInd w:val="0"/>
        <w:spacing w:after="0" w:line="240" w:lineRule="auto"/>
        <w:rPr>
          <w:rFonts w:asciiTheme="majorBidi" w:hAnsiTheme="majorBidi" w:cstheme="majorBidi"/>
          <w:b/>
          <w:bCs/>
          <w:sz w:val="24"/>
          <w:szCs w:val="24"/>
          <w:u w:val="single"/>
        </w:rPr>
      </w:pPr>
      <w:r w:rsidRPr="0056286D">
        <w:rPr>
          <w:rFonts w:asciiTheme="majorBidi" w:hAnsiTheme="majorBidi" w:cstheme="majorBidi"/>
          <w:b/>
          <w:bCs/>
          <w:sz w:val="24"/>
          <w:szCs w:val="24"/>
          <w:u w:val="single"/>
        </w:rPr>
        <w:t>Program Admission Requirements</w:t>
      </w:r>
    </w:p>
    <w:p w:rsidR="003C2927" w:rsidRPr="0056286D" w:rsidRDefault="003C2927" w:rsidP="0056286D">
      <w:pPr>
        <w:autoSpaceDE w:val="0"/>
        <w:autoSpaceDN w:val="0"/>
        <w:adjustRightInd w:val="0"/>
        <w:spacing w:after="0" w:line="240" w:lineRule="auto"/>
        <w:rPr>
          <w:rFonts w:asciiTheme="majorBidi" w:hAnsiTheme="majorBidi" w:cstheme="majorBidi"/>
          <w:b/>
          <w:bCs/>
          <w:sz w:val="24"/>
          <w:szCs w:val="24"/>
        </w:rPr>
      </w:pPr>
      <w:r w:rsidRPr="0056286D">
        <w:rPr>
          <w:rFonts w:asciiTheme="majorBidi" w:hAnsiTheme="majorBidi" w:cstheme="majorBidi"/>
          <w:b/>
          <w:bCs/>
          <w:sz w:val="24"/>
          <w:szCs w:val="24"/>
        </w:rPr>
        <w:t>I-General requirement</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Candidate should have either</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1. MBBCH degree from any Egyptian Faculty of medicine or</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2. Equivalent degree from Medical School abroad approved by the ministry of higher education.</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Candidate should complete the house office training year.</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Those who are not university hospital residents should pass training for at least 12 months in one of the known hospital</w:t>
      </w:r>
    </w:p>
    <w:p w:rsidR="00410839" w:rsidRPr="0056286D" w:rsidRDefault="003C2927" w:rsidP="0056286D">
      <w:pPr>
        <w:spacing w:line="240" w:lineRule="auto"/>
        <w:rPr>
          <w:rFonts w:asciiTheme="majorBidi" w:hAnsiTheme="majorBidi" w:cstheme="majorBidi"/>
          <w:sz w:val="24"/>
          <w:szCs w:val="24"/>
        </w:rPr>
      </w:pPr>
      <w:r w:rsidRPr="0056286D">
        <w:rPr>
          <w:rFonts w:asciiTheme="majorBidi" w:hAnsiTheme="majorBidi" w:cstheme="majorBidi"/>
          <w:sz w:val="24"/>
          <w:szCs w:val="24"/>
        </w:rPr>
        <w:t xml:space="preserve">• Follow postgraduate regulatory rules of </w:t>
      </w:r>
      <w:proofErr w:type="spellStart"/>
      <w:r w:rsidRPr="0056286D">
        <w:rPr>
          <w:rFonts w:asciiTheme="majorBidi" w:hAnsiTheme="majorBidi" w:cstheme="majorBidi"/>
          <w:sz w:val="24"/>
          <w:szCs w:val="24"/>
        </w:rPr>
        <w:t>Sohag</w:t>
      </w:r>
      <w:proofErr w:type="spellEnd"/>
      <w:r w:rsidRPr="0056286D">
        <w:rPr>
          <w:rFonts w:asciiTheme="majorBidi" w:hAnsiTheme="majorBidi" w:cstheme="majorBidi"/>
          <w:sz w:val="24"/>
          <w:szCs w:val="24"/>
        </w:rPr>
        <w:t xml:space="preserve"> Faculty of medicine.</w:t>
      </w:r>
    </w:p>
    <w:p w:rsidR="003C2927" w:rsidRPr="0056286D" w:rsidRDefault="003C2927" w:rsidP="0056286D">
      <w:pPr>
        <w:autoSpaceDE w:val="0"/>
        <w:autoSpaceDN w:val="0"/>
        <w:adjustRightInd w:val="0"/>
        <w:spacing w:after="0" w:line="240" w:lineRule="auto"/>
        <w:rPr>
          <w:rFonts w:asciiTheme="majorBidi" w:hAnsiTheme="majorBidi" w:cstheme="majorBidi"/>
          <w:b/>
          <w:bCs/>
          <w:sz w:val="24"/>
          <w:szCs w:val="24"/>
        </w:rPr>
      </w:pPr>
      <w:r w:rsidRPr="0056286D">
        <w:rPr>
          <w:rFonts w:asciiTheme="majorBidi" w:hAnsiTheme="majorBidi" w:cstheme="majorBidi"/>
          <w:b/>
          <w:bCs/>
          <w:sz w:val="24"/>
          <w:szCs w:val="24"/>
        </w:rPr>
        <w:t>II-Specific requirement</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Candidate graduated from Egyptian universities should have at least "Good rank" in their final year/ cumulative year's examination and grade "Good rank" in internal medicine course too.</w:t>
      </w:r>
    </w:p>
    <w:p w:rsidR="003C2927" w:rsidRPr="0056286D" w:rsidRDefault="003C2927"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Candidate should know how to speak and write English well.</w:t>
      </w:r>
    </w:p>
    <w:p w:rsidR="003C2927" w:rsidRPr="0056286D" w:rsidRDefault="003C2927" w:rsidP="0056286D">
      <w:pPr>
        <w:spacing w:line="240" w:lineRule="auto"/>
        <w:rPr>
          <w:rFonts w:asciiTheme="majorBidi" w:hAnsiTheme="majorBidi" w:cstheme="majorBidi"/>
          <w:sz w:val="24"/>
          <w:szCs w:val="24"/>
        </w:rPr>
      </w:pPr>
      <w:r w:rsidRPr="0056286D">
        <w:rPr>
          <w:rFonts w:asciiTheme="majorBidi" w:hAnsiTheme="majorBidi" w:cstheme="majorBidi"/>
          <w:sz w:val="24"/>
          <w:szCs w:val="24"/>
        </w:rPr>
        <w:t>• Candidate should know have computer skills.</w:t>
      </w:r>
    </w:p>
    <w:p w:rsidR="000B70D9" w:rsidRPr="0056286D" w:rsidRDefault="000B70D9" w:rsidP="0056286D">
      <w:pPr>
        <w:autoSpaceDE w:val="0"/>
        <w:autoSpaceDN w:val="0"/>
        <w:adjustRightInd w:val="0"/>
        <w:spacing w:after="0" w:line="240" w:lineRule="auto"/>
        <w:rPr>
          <w:rFonts w:asciiTheme="majorBidi" w:hAnsiTheme="majorBidi" w:cstheme="majorBidi"/>
          <w:b/>
          <w:bCs/>
          <w:sz w:val="24"/>
          <w:szCs w:val="24"/>
          <w:u w:val="single"/>
        </w:rPr>
      </w:pPr>
      <w:r w:rsidRPr="0056286D">
        <w:rPr>
          <w:rFonts w:asciiTheme="majorBidi" w:hAnsiTheme="majorBidi" w:cstheme="majorBidi"/>
          <w:b/>
          <w:bCs/>
          <w:sz w:val="24"/>
          <w:szCs w:val="24"/>
          <w:u w:val="single"/>
        </w:rPr>
        <w:t>Regulations for Progression and Program Completion</w:t>
      </w:r>
    </w:p>
    <w:p w:rsidR="000B70D9" w:rsidRPr="0056286D" w:rsidRDefault="000B70D9" w:rsidP="0056286D">
      <w:pPr>
        <w:autoSpaceDE w:val="0"/>
        <w:autoSpaceDN w:val="0"/>
        <w:adjustRightInd w:val="0"/>
        <w:spacing w:after="0" w:line="240" w:lineRule="auto"/>
        <w:rPr>
          <w:rFonts w:asciiTheme="majorBidi" w:hAnsiTheme="majorBidi" w:cstheme="majorBidi"/>
          <w:b/>
          <w:bCs/>
          <w:sz w:val="24"/>
          <w:szCs w:val="24"/>
        </w:rPr>
      </w:pPr>
      <w:r w:rsidRPr="0056286D">
        <w:rPr>
          <w:rFonts w:asciiTheme="majorBidi" w:hAnsiTheme="majorBidi" w:cstheme="majorBidi"/>
          <w:b/>
          <w:bCs/>
          <w:sz w:val="24"/>
          <w:szCs w:val="24"/>
        </w:rPr>
        <w:t>First Year/Level/Semester First Year/Level/Semester</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Duration of program is 10 semesters (5 years) maximum, starting from registration till the 2nd part exam; divided to:</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p>
    <w:p w:rsidR="000B70D9" w:rsidRPr="0056286D" w:rsidRDefault="000B70D9" w:rsidP="0056286D">
      <w:pPr>
        <w:pStyle w:val="ListParagraph"/>
        <w:numPr>
          <w:ilvl w:val="0"/>
          <w:numId w:val="9"/>
        </w:num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b/>
          <w:bCs/>
          <w:sz w:val="24"/>
          <w:szCs w:val="24"/>
        </w:rPr>
        <w:t>First Part</w:t>
      </w:r>
      <w:r w:rsidRPr="0056286D">
        <w:rPr>
          <w:rFonts w:asciiTheme="majorBidi" w:hAnsiTheme="majorBidi" w:cstheme="majorBidi"/>
          <w:sz w:val="24"/>
          <w:szCs w:val="24"/>
        </w:rPr>
        <w:t xml:space="preserve">: (≥ 12 months or 2 </w:t>
      </w:r>
      <w:proofErr w:type="spellStart"/>
      <w:r w:rsidRPr="0056286D">
        <w:rPr>
          <w:rFonts w:asciiTheme="majorBidi" w:hAnsiTheme="majorBidi" w:cstheme="majorBidi"/>
          <w:sz w:val="24"/>
          <w:szCs w:val="24"/>
        </w:rPr>
        <w:t>semisters</w:t>
      </w:r>
      <w:proofErr w:type="spellEnd"/>
      <w:r w:rsidRPr="0056286D">
        <w:rPr>
          <w:rFonts w:asciiTheme="majorBidi" w:hAnsiTheme="majorBidi" w:cstheme="majorBidi"/>
          <w:sz w:val="24"/>
          <w:szCs w:val="24"/>
        </w:rPr>
        <w:t>):</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Program-related basic science and some psychiatric science</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At least one year after registration should pass before the student can ask for examination in the 1st part.</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Two sets of exams: 1st in April — 2nd in October.</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For the student to pass the first part exam, a score of at least 60% in each curriculum is needed.</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Those who fail in one curriculum need to re-exam it only.</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p>
    <w:p w:rsidR="00402AFA" w:rsidRDefault="000B70D9" w:rsidP="0056286D">
      <w:pPr>
        <w:pStyle w:val="ListParagraph"/>
        <w:numPr>
          <w:ilvl w:val="0"/>
          <w:numId w:val="9"/>
        </w:numPr>
        <w:autoSpaceDE w:val="0"/>
        <w:autoSpaceDN w:val="0"/>
        <w:adjustRightInd w:val="0"/>
        <w:spacing w:after="0" w:line="240" w:lineRule="auto"/>
        <w:rPr>
          <w:rFonts w:asciiTheme="majorBidi" w:hAnsiTheme="majorBidi" w:cstheme="majorBidi"/>
          <w:sz w:val="24"/>
          <w:szCs w:val="24"/>
        </w:rPr>
      </w:pPr>
      <w:r w:rsidRPr="00402AFA">
        <w:rPr>
          <w:rFonts w:asciiTheme="majorBidi" w:hAnsiTheme="majorBidi" w:cstheme="majorBidi"/>
          <w:b/>
          <w:bCs/>
          <w:sz w:val="24"/>
          <w:szCs w:val="24"/>
        </w:rPr>
        <w:t xml:space="preserve">Thesis </w:t>
      </w:r>
    </w:p>
    <w:p w:rsidR="000B70D9" w:rsidRPr="00402AFA" w:rsidRDefault="000B70D9" w:rsidP="00402AFA">
      <w:pPr>
        <w:pStyle w:val="ListParagraph"/>
        <w:autoSpaceDE w:val="0"/>
        <w:autoSpaceDN w:val="0"/>
        <w:adjustRightInd w:val="0"/>
        <w:spacing w:after="0" w:line="240" w:lineRule="auto"/>
        <w:rPr>
          <w:rFonts w:asciiTheme="majorBidi" w:hAnsiTheme="majorBidi" w:cstheme="majorBidi"/>
          <w:sz w:val="24"/>
          <w:szCs w:val="24"/>
        </w:rPr>
      </w:pPr>
      <w:r w:rsidRPr="00402AFA">
        <w:rPr>
          <w:rFonts w:asciiTheme="majorBidi" w:hAnsiTheme="majorBidi" w:cstheme="majorBidi"/>
          <w:sz w:val="24"/>
          <w:szCs w:val="24"/>
        </w:rPr>
        <w:t>• Start after at least 1 year from registration and should be completed, defended and accepted at least after passing 1 year from documentation ,and after passing the 1st part examination and at least one month before allowing to enter 2nd part final examination. Accepting the thesis is enough to pass this part.</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p>
    <w:p w:rsidR="000B70D9" w:rsidRPr="0056286D" w:rsidRDefault="000B70D9" w:rsidP="0056286D">
      <w:pPr>
        <w:pStyle w:val="ListParagraph"/>
        <w:numPr>
          <w:ilvl w:val="0"/>
          <w:numId w:val="9"/>
        </w:num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b/>
          <w:bCs/>
          <w:sz w:val="24"/>
          <w:szCs w:val="24"/>
        </w:rPr>
        <w:t>Second Part</w:t>
      </w:r>
      <w:r w:rsidRPr="0056286D">
        <w:rPr>
          <w:rFonts w:asciiTheme="majorBidi" w:hAnsiTheme="majorBidi" w:cstheme="majorBidi"/>
          <w:sz w:val="24"/>
          <w:szCs w:val="24"/>
        </w:rPr>
        <w:t>: (≥24 months=4 semesters):</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Program related specialized science neurology, psychiatry and general internal medicine Courses.</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After passing</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-university hospital resident: ≥ 36 ms residency in the department of neurology</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proofErr w:type="gramStart"/>
      <w:r w:rsidRPr="0056286D">
        <w:rPr>
          <w:rFonts w:asciiTheme="majorBidi" w:hAnsiTheme="majorBidi" w:cstheme="majorBidi"/>
          <w:sz w:val="24"/>
          <w:szCs w:val="24"/>
        </w:rPr>
        <w:t>and</w:t>
      </w:r>
      <w:proofErr w:type="gramEnd"/>
      <w:r w:rsidRPr="0056286D">
        <w:rPr>
          <w:rFonts w:asciiTheme="majorBidi" w:hAnsiTheme="majorBidi" w:cstheme="majorBidi"/>
          <w:sz w:val="24"/>
          <w:szCs w:val="24"/>
        </w:rPr>
        <w:t xml:space="preserve"> psychological medicine</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-residents in other places: 12 months training in the department of neurology and psychological medicine</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-Student should pass the 1st part before asking for examination in the 2nd part</w:t>
      </w:r>
    </w:p>
    <w:p w:rsidR="000B70D9" w:rsidRPr="0056286D" w:rsidRDefault="000B70D9"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Fulfillment of the requirements in each course as described in the template</w:t>
      </w:r>
      <w:r w:rsidR="0056286D" w:rsidRPr="0056286D">
        <w:rPr>
          <w:rFonts w:asciiTheme="majorBidi" w:hAnsiTheme="majorBidi" w:cstheme="majorBidi"/>
          <w:sz w:val="24"/>
          <w:szCs w:val="24"/>
        </w:rPr>
        <w:t>.</w:t>
      </w:r>
    </w:p>
    <w:p w:rsidR="0056286D" w:rsidRPr="0056286D" w:rsidRDefault="0056286D"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Two sets of exams: 1st in April— 2nd in October.</w:t>
      </w:r>
    </w:p>
    <w:p w:rsidR="0056286D" w:rsidRPr="0056286D" w:rsidRDefault="0056286D"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 For the student to pass the second part exam a score of at least 60 % is needed</w:t>
      </w:r>
    </w:p>
    <w:p w:rsidR="0056286D" w:rsidRPr="0056286D" w:rsidRDefault="0056286D" w:rsidP="0056286D">
      <w:pPr>
        <w:autoSpaceDE w:val="0"/>
        <w:autoSpaceDN w:val="0"/>
        <w:adjustRightInd w:val="0"/>
        <w:spacing w:after="0" w:line="240" w:lineRule="auto"/>
        <w:rPr>
          <w:rFonts w:asciiTheme="majorBidi" w:hAnsiTheme="majorBidi" w:cstheme="majorBidi"/>
          <w:sz w:val="24"/>
          <w:szCs w:val="24"/>
        </w:rPr>
      </w:pPr>
      <w:r w:rsidRPr="0056286D">
        <w:rPr>
          <w:rFonts w:asciiTheme="majorBidi" w:hAnsiTheme="majorBidi" w:cstheme="majorBidi"/>
          <w:sz w:val="24"/>
          <w:szCs w:val="24"/>
        </w:rPr>
        <w:t>(</w:t>
      </w:r>
      <w:proofErr w:type="gramStart"/>
      <w:r w:rsidRPr="0056286D">
        <w:rPr>
          <w:rFonts w:asciiTheme="majorBidi" w:hAnsiTheme="majorBidi" w:cstheme="majorBidi"/>
          <w:sz w:val="24"/>
          <w:szCs w:val="24"/>
        </w:rPr>
        <w:t>with</w:t>
      </w:r>
      <w:proofErr w:type="gramEnd"/>
      <w:r w:rsidRPr="0056286D">
        <w:rPr>
          <w:rFonts w:asciiTheme="majorBidi" w:hAnsiTheme="majorBidi" w:cstheme="majorBidi"/>
          <w:sz w:val="24"/>
          <w:szCs w:val="24"/>
        </w:rPr>
        <w:t xml:space="preserve"> at least 40% of the written exam). </w:t>
      </w:r>
    </w:p>
    <w:sectPr w:rsidR="0056286D" w:rsidRPr="0056286D" w:rsidSect="008D1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DA2"/>
    <w:multiLevelType w:val="hybridMultilevel"/>
    <w:tmpl w:val="6C36C886"/>
    <w:lvl w:ilvl="0" w:tplc="F57404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910278"/>
    <w:multiLevelType w:val="hybridMultilevel"/>
    <w:tmpl w:val="E5FEC5EA"/>
    <w:lvl w:ilvl="0" w:tplc="FDC0563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B19B3"/>
    <w:multiLevelType w:val="hybridMultilevel"/>
    <w:tmpl w:val="4D4009CC"/>
    <w:lvl w:ilvl="0" w:tplc="47C82A84">
      <w:start w:val="1"/>
      <w:numFmt w:val="upperLetter"/>
      <w:lvlText w:val="%1-"/>
      <w:lvlJc w:val="left"/>
      <w:pPr>
        <w:ind w:left="1440" w:hanging="36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DB147F"/>
    <w:multiLevelType w:val="hybridMultilevel"/>
    <w:tmpl w:val="8FC0349E"/>
    <w:lvl w:ilvl="0" w:tplc="ED380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C4AA5"/>
    <w:multiLevelType w:val="hybridMultilevel"/>
    <w:tmpl w:val="9C584E6C"/>
    <w:lvl w:ilvl="0" w:tplc="3C423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A34C21"/>
    <w:multiLevelType w:val="hybridMultilevel"/>
    <w:tmpl w:val="6A861550"/>
    <w:lvl w:ilvl="0" w:tplc="3CD657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081D54"/>
    <w:multiLevelType w:val="hybridMultilevel"/>
    <w:tmpl w:val="5C1044EC"/>
    <w:lvl w:ilvl="0" w:tplc="E38AB200">
      <w:start w:val="1"/>
      <w:numFmt w:val="decimal"/>
      <w:lvlText w:val="%1-"/>
      <w:lvlJc w:val="left"/>
      <w:pPr>
        <w:ind w:left="720" w:hanging="360"/>
      </w:pPr>
      <w:rPr>
        <w:rFonts w:cs="Arial-BoldMT"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F00FC"/>
    <w:multiLevelType w:val="hybridMultilevel"/>
    <w:tmpl w:val="1632EAE6"/>
    <w:lvl w:ilvl="0" w:tplc="6D908D10">
      <w:start w:val="1"/>
      <w:numFmt w:val="upperLetter"/>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2264B"/>
    <w:multiLevelType w:val="hybridMultilevel"/>
    <w:tmpl w:val="0216707E"/>
    <w:lvl w:ilvl="0" w:tplc="14486116">
      <w:start w:val="1"/>
      <w:numFmt w:val="lowerLetter"/>
      <w:lvlText w:val="%1-"/>
      <w:lvlJc w:val="left"/>
      <w:pPr>
        <w:ind w:left="720" w:hanging="360"/>
      </w:pPr>
      <w:rPr>
        <w:rFonts w:ascii="Arial-ItalicMT" w:hAnsi="Arial-ItalicMT" w:cs="Arial-ItalicMT"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410839"/>
    <w:rsid w:val="00042D60"/>
    <w:rsid w:val="000B70D9"/>
    <w:rsid w:val="001231D9"/>
    <w:rsid w:val="001C6A06"/>
    <w:rsid w:val="003C2927"/>
    <w:rsid w:val="00402AFA"/>
    <w:rsid w:val="00410839"/>
    <w:rsid w:val="00480B6F"/>
    <w:rsid w:val="004952A3"/>
    <w:rsid w:val="0056286D"/>
    <w:rsid w:val="006B09FE"/>
    <w:rsid w:val="00760920"/>
    <w:rsid w:val="00766ADC"/>
    <w:rsid w:val="00895046"/>
    <w:rsid w:val="008D1C09"/>
    <w:rsid w:val="00A47073"/>
    <w:rsid w:val="00B6246E"/>
    <w:rsid w:val="00BA14EC"/>
    <w:rsid w:val="00C80044"/>
    <w:rsid w:val="00D452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39"/>
    <w:pPr>
      <w:ind w:left="720"/>
      <w:contextualSpacing/>
    </w:pPr>
  </w:style>
  <w:style w:type="table" w:styleId="TableGrid">
    <w:name w:val="Table Grid"/>
    <w:basedOn w:val="TableNormal"/>
    <w:uiPriority w:val="59"/>
    <w:rsid w:val="003C2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Dell</cp:lastModifiedBy>
  <cp:revision>2</cp:revision>
  <dcterms:created xsi:type="dcterms:W3CDTF">2011-12-12T21:59:00Z</dcterms:created>
  <dcterms:modified xsi:type="dcterms:W3CDTF">2011-12-13T09:10:00Z</dcterms:modified>
</cp:coreProperties>
</file>